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rPr/>
      </w:pPr>
      <w:bookmarkStart w:colFirst="0" w:colLast="0" w:name="_4cdkut1hjtv0" w:id="0"/>
      <w:bookmarkEnd w:id="0"/>
      <w:r w:rsidDel="00000000" w:rsidR="00000000" w:rsidRPr="00000000">
        <w:rPr>
          <w:rtl w:val="0"/>
        </w:rPr>
        <w:t xml:space="preserve">The Geometry of Affordability: A Strategic Evaluation of Regional Economic Tiers and Purchasing Power in Corporate Site Selection (2025–2026)</w:t>
      </w:r>
    </w:p>
    <w:p w:rsidR="00000000" w:rsidDel="00000000" w:rsidP="00000000" w:rsidRDefault="00000000" w:rsidRPr="00000000" w14:paraId="00000002">
      <w:pPr>
        <w:pStyle w:val="Heading5"/>
        <w:rPr/>
      </w:pPr>
      <w:bookmarkStart w:colFirst="0" w:colLast="0" w:name="_k2sm38m7ofrs" w:id="1"/>
      <w:bookmarkEnd w:id="1"/>
      <w:r w:rsidDel="00000000" w:rsidR="00000000" w:rsidRPr="00000000">
        <w:rPr>
          <w:rtl w:val="0"/>
        </w:rPr>
        <w:t xml:space="preserve">1. The Strategic Imperative: Why Regional Price Parity Dictates Corporate Viability</w:t>
      </w:r>
    </w:p>
    <w:p w:rsidR="00000000" w:rsidDel="00000000" w:rsidP="00000000" w:rsidRDefault="00000000" w:rsidRPr="00000000" w14:paraId="00000003">
      <w:pPr>
        <w:rPr/>
      </w:pPr>
      <w:r w:rsidDel="00000000" w:rsidR="00000000" w:rsidRPr="00000000">
        <w:rPr>
          <w:rtl w:val="0"/>
        </w:rPr>
        <w:t xml:space="preserve">In the 2025–2026 economic cycle, Cost of Living (COL) analysis has transitioned from a secondary human resources metric to a primary driver of corporate solvency. Historically, site selection focused on proximity to consumers or raw materials; today, the primary constraint on growth is the systemic "erosion of the social contract." In high-overhead markets, the traditional promise—that professional labor guarantees economic stability—has been severed. For the modern strategist, this means nominal high wages no longer secure workforce stability. Instead, they often fund a "race to pay," where employees merely exist rather than contribute to a thriving corporate culture.To quantify this shift, we utilize two essential metrics: the  </w:t>
      </w:r>
      <w:r w:rsidDel="00000000" w:rsidR="00000000" w:rsidRPr="00000000">
        <w:rPr>
          <w:b w:val="1"/>
          <w:bCs w:val="1"/>
          <w:rtl w:val="0"/>
        </w:rPr>
        <w:t xml:space="preserve">Cost of Living Index (COLI)</w:t>
      </w:r>
      <w:r w:rsidDel="00000000" w:rsidR="00000000" w:rsidRPr="00000000">
        <w:rPr>
          <w:rtl w:val="0"/>
        </w:rPr>
        <w:t xml:space="preserve">  and  </w:t>
      </w:r>
      <w:r w:rsidDel="00000000" w:rsidR="00000000" w:rsidRPr="00000000">
        <w:rPr>
          <w:b w:val="1"/>
          <w:bCs w:val="1"/>
          <w:rtl w:val="0"/>
        </w:rPr>
        <w:t xml:space="preserve">Regional Price Parities (RPPs)</w:t>
      </w:r>
      <w:r w:rsidDel="00000000" w:rsidR="00000000" w:rsidRPr="00000000">
        <w:rPr>
          <w:rtl w:val="0"/>
        </w:rPr>
        <w:t xml:space="preserve"> . The COLI, benchmarked at a national average of 100, allows for a granular comparison of consumer expenditures. RPPs, provided by the Bureau of Economic Analysis, integrate broader data points, including non-metropolitan costs, to measure the "true" operational overhead of a region.The "Structural Deficiency" argument is the most damning evidence of this crisis. Current data indicates that a mid-level professional earning a nominal $85,000 salary takes home approximately $5,800 monthly after taxes and mandatory insurance. However, in Tier 1 markets, basic monthly expenditures—housing, utilities, food, and transportation—now average $8,150. This creates a $2,300 monthly "Survival Debt." This is not merely a budget shortfall; it is a systemic barrier to capital accumulation that prevents the workforce from achieving stability. This "treadmill effect" triggers human capital flight and exerts unsustainable upward wage pressure on the corporate P&amp;L, making the U.S. not a single market, but a collection of distinct economic tiers.</w:t>
      </w:r>
    </w:p>
    <w:p w:rsidR="00000000" w:rsidDel="00000000" w:rsidP="00000000" w:rsidRDefault="00000000" w:rsidRPr="00000000" w14:paraId="00000004">
      <w:pPr>
        <w:pStyle w:val="Heading5"/>
        <w:rPr/>
      </w:pPr>
      <w:bookmarkStart w:colFirst="0" w:colLast="0" w:name="_b9ay2cnmtsko" w:id="2"/>
      <w:bookmarkEnd w:id="2"/>
      <w:r w:rsidDel="00000000" w:rsidR="00000000" w:rsidRPr="00000000">
        <w:rPr>
          <w:rtl w:val="0"/>
        </w:rPr>
        <w:t xml:space="preserve">2. The Premium Tier: High-Demand, High-Overhead Markets</w:t>
      </w:r>
    </w:p>
    <w:p w:rsidR="00000000" w:rsidDel="00000000" w:rsidP="00000000" w:rsidRDefault="00000000" w:rsidRPr="00000000" w14:paraId="00000005">
      <w:pPr>
        <w:rPr/>
      </w:pPr>
      <w:r w:rsidDel="00000000" w:rsidR="00000000" w:rsidRPr="00000000">
        <w:rPr>
          <w:rtl w:val="0"/>
        </w:rPr>
        <w:t xml:space="preserve">The "Premium Tier" encompasses states like Hawaii, California, Massachusetts, and New York. While these regions leverage high-wage economies to attract top-tier talent, they have reached a "Spirit Breaking" point. At this threshold, the velocity of local expenses snaps the retention chain, rendering even six-figure salaries insufficient for long-term commitment.The following table evaluates the baseline requirements for the five most expensive states:| State | Composite Index | Housing Index | Salary Needed to Live Comfortably || ------ | ------ | ------ | ------ || </w:t>
      </w:r>
      <w:r w:rsidDel="00000000" w:rsidR="00000000" w:rsidRPr="00000000">
        <w:rPr>
          <w:b w:val="1"/>
          <w:bCs w:val="1"/>
          <w:rtl w:val="0"/>
        </w:rPr>
        <w:t xml:space="preserve">Hawaii</w:t>
      </w:r>
      <w:r w:rsidDel="00000000" w:rsidR="00000000" w:rsidRPr="00000000">
        <w:rPr>
          <w:rtl w:val="0"/>
        </w:rPr>
        <w:t xml:space="preserve"> | 185.0 | 304.2 | $124,467 || </w:t>
      </w:r>
      <w:r w:rsidDel="00000000" w:rsidR="00000000" w:rsidRPr="00000000">
        <w:rPr>
          <w:b w:val="1"/>
          <w:bCs w:val="1"/>
          <w:rtl w:val="0"/>
        </w:rPr>
        <w:t xml:space="preserve">Massachusetts</w:t>
      </w:r>
      <w:r w:rsidDel="00000000" w:rsidR="00000000" w:rsidRPr="00000000">
        <w:rPr>
          <w:rtl w:val="0"/>
        </w:rPr>
        <w:t xml:space="preserve"> | 141.2 | 196.2 | $120,141 || </w:t>
      </w:r>
      <w:r w:rsidDel="00000000" w:rsidR="00000000" w:rsidRPr="00000000">
        <w:rPr>
          <w:b w:val="1"/>
          <w:bCs w:val="1"/>
          <w:rtl w:val="0"/>
        </w:rPr>
        <w:t xml:space="preserve">California</w:t>
      </w:r>
      <w:r w:rsidDel="00000000" w:rsidR="00000000" w:rsidRPr="00000000">
        <w:rPr>
          <w:rtl w:val="0"/>
        </w:rPr>
        <w:t xml:space="preserve"> | 142.3 | 200.1 | $119,475 || </w:t>
      </w:r>
      <w:r w:rsidDel="00000000" w:rsidR="00000000" w:rsidRPr="00000000">
        <w:rPr>
          <w:b w:val="1"/>
          <w:bCs w:val="1"/>
          <w:rtl w:val="0"/>
        </w:rPr>
        <w:t xml:space="preserve">New York</w:t>
      </w:r>
      <w:r w:rsidDel="00000000" w:rsidR="00000000" w:rsidRPr="00000000">
        <w:rPr>
          <w:rtl w:val="0"/>
        </w:rPr>
        <w:t xml:space="preserve"> | 125.1 | 174.6 | $114,691 || </w:t>
      </w:r>
      <w:r w:rsidDel="00000000" w:rsidR="00000000" w:rsidRPr="00000000">
        <w:rPr>
          <w:b w:val="1"/>
          <w:bCs w:val="1"/>
          <w:rtl w:val="0"/>
        </w:rPr>
        <w:t xml:space="preserve">Alaska</w:t>
      </w:r>
      <w:r w:rsidDel="00000000" w:rsidR="00000000" w:rsidRPr="00000000">
        <w:rPr>
          <w:rtl w:val="0"/>
        </w:rPr>
        <w:t xml:space="preserve"> | 124.9 | 119.7 | $101,795 (Anchorage) |</w:t>
      </w:r>
    </w:p>
    <w:p w:rsidR="00000000" w:rsidDel="00000000" w:rsidP="00000000" w:rsidRDefault="00000000" w:rsidRPr="00000000" w14:paraId="00000006">
      <w:pPr>
        <w:rPr/>
      </w:pPr>
      <w:r w:rsidDel="00000000" w:rsidR="00000000" w:rsidRPr="00000000">
        <w:rPr>
          <w:rtl w:val="0"/>
        </w:rPr>
        <w:t xml:space="preserve">A severe "Island and Remote Logistics" penalty dictates costs in Hawaii and Alaska. Hawaii’s grocery index (133.5) and utility index (204.4) reflect the massive geographic overhead of shipping essential goods over 2,000 miles. Alaska faces a similar healthcare burden, with an index of 144.8—the highest in the nation—due to provider scarcity and dispersed populations. To put this in perspective, Hawaii's average weekly grocery spend of $334 creates a permanent drag on discretionary income compared to the national average.Furthermore, these markets have instituted a "High-Earner Filter" through housing. Restrictive supply and landlord requirements (typically 3x monthly rent in income) mean an $1,800 apartment requires a $5,400 monthly pre-tax income. In cities like Los Angeles or NYC, this creates "social filtration," where even those earning  $200k–$ 250k face supply constraints. This lack of elasticity forces an out-migration of mid-level management toward the "Affordable Tier."</w:t>
      </w:r>
    </w:p>
    <w:p w:rsidR="00000000" w:rsidDel="00000000" w:rsidP="00000000" w:rsidRDefault="00000000" w:rsidRPr="00000000" w14:paraId="00000007">
      <w:pPr>
        <w:pStyle w:val="Heading5"/>
        <w:rPr/>
      </w:pPr>
      <w:bookmarkStart w:colFirst="0" w:colLast="0" w:name="_ce474svvnnck" w:id="3"/>
      <w:bookmarkEnd w:id="3"/>
      <w:r w:rsidDel="00000000" w:rsidR="00000000" w:rsidRPr="00000000">
        <w:rPr>
          <w:rtl w:val="0"/>
        </w:rPr>
        <w:t xml:space="preserve">3. The Affordable Tier: Strategic Refuges and Cost-Efficient Hubs</w:t>
      </w:r>
    </w:p>
    <w:p w:rsidR="00000000" w:rsidDel="00000000" w:rsidP="00000000" w:rsidRDefault="00000000" w:rsidRPr="00000000" w14:paraId="00000008">
      <w:pPr>
        <w:rPr/>
      </w:pPr>
      <w:r w:rsidDel="00000000" w:rsidR="00000000" w:rsidRPr="00000000">
        <w:rPr>
          <w:rtl w:val="0"/>
        </w:rPr>
        <w:t xml:space="preserve">The Affordable Tier—including Mississippi, Oklahoma, Arkansas, and Kansas—serves as a strategic refuge. These are not merely "cheap" locations; they represent low-cost structures that offer a competitive advantage for high-headcount or low-margin operations.The "Housing Anchor" effect is the defining characteristic of this tier, where median home prices sit dramatically below the national average:</w:t>
      </w:r>
    </w:p>
    <w:p w:rsidR="00000000" w:rsidDel="00000000" w:rsidP="00000000" w:rsidRDefault="00000000" w:rsidRPr="00000000" w14:paraId="00000009">
      <w:pPr>
        <w:numPr>
          <w:ilvl w:val="0"/>
          <w:numId w:val="2"/>
        </w:numPr>
        <w:ind w:left="720" w:hanging="360"/>
        <w:rPr>
          <w:u w:val="none"/>
        </w:rPr>
      </w:pPr>
      <w:r w:rsidDel="00000000" w:rsidR="00000000" w:rsidRPr="00000000">
        <w:rPr>
          <w:b w:val="1"/>
          <w:bCs w:val="1"/>
          <w:rtl w:val="0"/>
        </w:rPr>
        <w:t xml:space="preserve">Oklahoma:</w:t>
      </w:r>
      <w:r w:rsidDel="00000000" w:rsidR="00000000" w:rsidRPr="00000000">
        <w:rPr>
          <w:rtl w:val="0"/>
        </w:rPr>
        <w:t xml:space="preserve">  $218,822 (Total annual household spend: $66,284)</w:t>
      </w:r>
    </w:p>
    <w:p w:rsidR="00000000" w:rsidDel="00000000" w:rsidP="00000000" w:rsidRDefault="00000000" w:rsidRPr="00000000" w14:paraId="0000000A">
      <w:pPr>
        <w:numPr>
          <w:ilvl w:val="0"/>
          <w:numId w:val="2"/>
        </w:numPr>
        <w:ind w:left="720" w:hanging="360"/>
        <w:rPr>
          <w:u w:val="none"/>
        </w:rPr>
      </w:pPr>
      <w:r w:rsidDel="00000000" w:rsidR="00000000" w:rsidRPr="00000000">
        <w:rPr>
          <w:b w:val="1"/>
          <w:bCs w:val="1"/>
          <w:rtl w:val="0"/>
        </w:rPr>
        <w:t xml:space="preserve">Mississippi:</w:t>
      </w:r>
      <w:r w:rsidDel="00000000" w:rsidR="00000000" w:rsidRPr="00000000">
        <w:rPr>
          <w:rtl w:val="0"/>
        </w:rPr>
        <w:t xml:space="preserve">  $189,849</w:t>
      </w:r>
    </w:p>
    <w:p w:rsidR="00000000" w:rsidDel="00000000" w:rsidP="00000000" w:rsidRDefault="00000000" w:rsidRPr="00000000" w14:paraId="0000000B">
      <w:pPr>
        <w:numPr>
          <w:ilvl w:val="0"/>
          <w:numId w:val="2"/>
        </w:numPr>
        <w:ind w:left="720" w:hanging="360"/>
        <w:rPr>
          <w:u w:val="none"/>
        </w:rPr>
      </w:pPr>
      <w:r w:rsidDel="00000000" w:rsidR="00000000" w:rsidRPr="00000000">
        <w:rPr>
          <w:b w:val="1"/>
          <w:bCs w:val="1"/>
          <w:rtl w:val="0"/>
        </w:rPr>
        <w:t xml:space="preserve">West Virginia:</w:t>
      </w:r>
      <w:r w:rsidDel="00000000" w:rsidR="00000000" w:rsidRPr="00000000">
        <w:rPr>
          <w:rtl w:val="0"/>
        </w:rPr>
        <w:t xml:space="preserve">  $169,759Oklahoma represents a particularly potent model for "speed of scaling." With home prices rising only 1% annually as of late 2025, the state demonstrates high price elasticity. This allows corporations to scale their workforce without triggering the immediate housing inflation seen in Tier 1 markets.Additionally, the Midwest offers a "Stable Pricing" advantage rooted in its proximity to the agricultural heartland. Grocery costs in Wisconsin average just $221 per week—34% lower than in Hawaii—significantly boosting employee discretionary income without increasing corporate wage expenses. States like Indiana and Ohio frame this "operational cost-certainty" as a strategic asset. However, a "Purchasing Power Trap" remains: if nominal wages trail costs too closely, as they do in Mississippi, the workforce remains financially fragile despite low prices.</w:t>
      </w:r>
    </w:p>
    <w:p w:rsidR="00000000" w:rsidDel="00000000" w:rsidP="00000000" w:rsidRDefault="00000000" w:rsidRPr="00000000" w14:paraId="0000000C">
      <w:pPr>
        <w:pStyle w:val="Heading5"/>
        <w:rPr/>
      </w:pPr>
      <w:bookmarkStart w:colFirst="0" w:colLast="0" w:name="_s6wn54952lzs" w:id="4"/>
      <w:bookmarkEnd w:id="4"/>
      <w:r w:rsidDel="00000000" w:rsidR="00000000" w:rsidRPr="00000000">
        <w:rPr>
          <w:rtl w:val="0"/>
        </w:rPr>
        <w:t xml:space="preserve">4. The Overhead Nexus: Deconstructing Housing and Taxation Policies</w:t>
      </w:r>
    </w:p>
    <w:p w:rsidR="00000000" w:rsidDel="00000000" w:rsidP="00000000" w:rsidRDefault="00000000" w:rsidRPr="00000000" w14:paraId="0000000D">
      <w:pPr>
        <w:rPr/>
      </w:pPr>
      <w:r w:rsidDel="00000000" w:rsidR="00000000" w:rsidRPr="00000000">
        <w:rPr>
          <w:rtl w:val="0"/>
        </w:rPr>
        <w:t xml:space="preserve">State-level policies regarding zoning, taxation, and energy serve as a "silent judge" on corporate P&amp;L and workforce stability.The "Taxation Paradox" reveals that the absence of a state income tax (FL, TX, WA, NV) does not always equate to lower total overhead. A nuanced comparison of property taxes illustrates this: Hawaii has the nation’s lowest effective property tax rate at 0.27%, but because of extreme valuations, the actual bill is high. Conversely, New Jersey’s 2.23% effective rate creates a "forever rent" scenario, where a homeowner on a fixed income faces a $9,500+ annual tax bill, regardless of mortgage status.Energy and labor regulations further bifurcate the landscape. The utility burden in Connecticut ( $363/mo) versus Utah ($ 212/mo) represents a massive variance in facility operational costs over a 10-year lease.Finally, the "Housing Supply Constraint" dictates the velocity of corporate growth. While restrictive zoning in California has frozen supply, Texas offers a masterclass in supply elasticity. In Houston, despite heavy migration, robust construction allowed home prices to fall 2.2% annually. This "Houston Effect" is the ideal model for corporations requiring rapid, large-scale recruitment without cannibalizing their employees' purchasing power.</w:t>
      </w:r>
    </w:p>
    <w:p w:rsidR="00000000" w:rsidDel="00000000" w:rsidP="00000000" w:rsidRDefault="00000000" w:rsidRPr="00000000" w14:paraId="0000000E">
      <w:pPr>
        <w:pStyle w:val="Heading5"/>
        <w:rPr/>
      </w:pPr>
      <w:bookmarkStart w:colFirst="0" w:colLast="0" w:name="_jaiooamxs56o" w:id="5"/>
      <w:bookmarkEnd w:id="5"/>
      <w:r w:rsidDel="00000000" w:rsidR="00000000" w:rsidRPr="00000000">
        <w:rPr>
          <w:rtl w:val="0"/>
        </w:rPr>
        <w:t xml:space="preserve">5. Purchasing Power Parity (PPP): The "Adjusted Income" Framework</w:t>
      </w:r>
    </w:p>
    <w:p w:rsidR="00000000" w:rsidDel="00000000" w:rsidP="00000000" w:rsidRDefault="00000000" w:rsidRPr="00000000" w14:paraId="0000000F">
      <w:pPr>
        <w:rPr/>
      </w:pPr>
      <w:r w:rsidDel="00000000" w:rsidR="00000000" w:rsidRPr="00000000">
        <w:rPr>
          <w:rtl w:val="0"/>
        </w:rPr>
        <w:t xml:space="preserve">The "Value of $100" concept is the most sophisticated tool in the site selection arsenal. A $100,000 salary is a variable, not a constant. Its strategic utility is determined by the local Regional Price Parity.| State | Nominal $100 Value | Purchasing Power Value | Adjusted Income (Median HH) || ------ | ------ | ------ | ------ || </w:t>
      </w:r>
      <w:r w:rsidDel="00000000" w:rsidR="00000000" w:rsidRPr="00000000">
        <w:rPr>
          <w:b w:val="1"/>
          <w:bCs w:val="1"/>
          <w:rtl w:val="0"/>
        </w:rPr>
        <w:t xml:space="preserve">Maryland</w:t>
      </w:r>
      <w:r w:rsidDel="00000000" w:rsidR="00000000" w:rsidRPr="00000000">
        <w:rPr>
          <w:rtl w:val="0"/>
        </w:rPr>
        <w:t xml:space="preserve"> | $96.04 | $86.65 | </w:t>
      </w:r>
      <w:r w:rsidDel="00000000" w:rsidR="00000000" w:rsidRPr="00000000">
        <w:rPr>
          <w:b w:val="1"/>
          <w:bCs w:val="1"/>
          <w:rtl w:val="0"/>
        </w:rPr>
        <w:t xml:space="preserve">$88,388</w:t>
      </w:r>
      <w:r w:rsidDel="00000000" w:rsidR="00000000" w:rsidRPr="00000000">
        <w:rPr>
          <w:rtl w:val="0"/>
        </w:rPr>
        <w:t xml:space="preserve"> || </w:t>
      </w:r>
      <w:r w:rsidDel="00000000" w:rsidR="00000000" w:rsidRPr="00000000">
        <w:rPr>
          <w:b w:val="1"/>
          <w:bCs w:val="1"/>
          <w:rtl w:val="0"/>
        </w:rPr>
        <w:t xml:space="preserve">Mississippi</w:t>
      </w:r>
      <w:r w:rsidDel="00000000" w:rsidR="00000000" w:rsidRPr="00000000">
        <w:rPr>
          <w:rtl w:val="0"/>
        </w:rPr>
        <w:t xml:space="preserve"> | $112.71 | $114.55 | $62,904 || </w:t>
      </w:r>
      <w:r w:rsidDel="00000000" w:rsidR="00000000" w:rsidRPr="00000000">
        <w:rPr>
          <w:b w:val="1"/>
          <w:bCs w:val="1"/>
          <w:rtl w:val="0"/>
        </w:rPr>
        <w:t xml:space="preserve">Alabama</w:t>
      </w:r>
      <w:r w:rsidDel="00000000" w:rsidR="00000000" w:rsidRPr="00000000">
        <w:rPr>
          <w:rtl w:val="0"/>
        </w:rPr>
        <w:t xml:space="preserve"> | $110.03 | $112.87 | $67,296 || </w:t>
      </w:r>
      <w:r w:rsidDel="00000000" w:rsidR="00000000" w:rsidRPr="00000000">
        <w:rPr>
          <w:b w:val="1"/>
          <w:bCs w:val="1"/>
          <w:rtl w:val="0"/>
        </w:rPr>
        <w:t xml:space="preserve">New York</w:t>
      </w:r>
      <w:r w:rsidDel="00000000" w:rsidR="00000000" w:rsidRPr="00000000">
        <w:rPr>
          <w:rtl w:val="0"/>
        </w:rPr>
        <w:t xml:space="preserve"> | $92.37 | $79.94 | $65,228 || </w:t>
      </w:r>
      <w:r w:rsidDel="00000000" w:rsidR="00000000" w:rsidRPr="00000000">
        <w:rPr>
          <w:b w:val="1"/>
          <w:bCs w:val="1"/>
          <w:rtl w:val="0"/>
        </w:rPr>
        <w:t xml:space="preserve">Hawaii</w:t>
      </w:r>
      <w:r w:rsidDel="00000000" w:rsidR="00000000" w:rsidRPr="00000000">
        <w:rPr>
          <w:rtl w:val="0"/>
        </w:rPr>
        <w:t xml:space="preserve"> | $91.39 | $54.05 | $52,595 |</w:t>
      </w:r>
    </w:p>
    <w:p w:rsidR="00000000" w:rsidDel="00000000" w:rsidP="00000000" w:rsidRDefault="00000000" w:rsidRPr="00000000" w14:paraId="00000010">
      <w:pPr>
        <w:rPr/>
      </w:pPr>
      <w:r w:rsidDel="00000000" w:rsidR="00000000" w:rsidRPr="00000000">
        <w:rPr>
          <w:rtl w:val="0"/>
        </w:rPr>
        <w:t xml:space="preserve">The "Holy Grail" of site selection is "Strategic Affordability," exemplified by Maryland. While Maryland is a high-cost state (Rank #42 in affordability), it boasts the highest median income, resulting in the nation's top  </w:t>
      </w:r>
      <w:r w:rsidDel="00000000" w:rsidR="00000000" w:rsidRPr="00000000">
        <w:rPr>
          <w:b w:val="1"/>
          <w:bCs w:val="1"/>
          <w:rtl w:val="0"/>
        </w:rPr>
        <w:t xml:space="preserve">Adjusted Income</w:t>
      </w:r>
      <w:r w:rsidDel="00000000" w:rsidR="00000000" w:rsidRPr="00000000">
        <w:rPr>
          <w:rtl w:val="0"/>
        </w:rPr>
        <w:t xml:space="preserve">  rank. This "High-Wage/High-Value" equilibrium is far superior to the "Workforce Retention Trap" seen in Mississippi or West Virginia. In those states, the lowest absolute costs are negated because the wage structure trails the cost structure, leaving employees with less real purchasing power than their peers in moderate-cost, high-wage hubs.</w:t>
      </w:r>
    </w:p>
    <w:p w:rsidR="00000000" w:rsidDel="00000000" w:rsidP="00000000" w:rsidRDefault="00000000" w:rsidRPr="00000000" w14:paraId="00000011">
      <w:pPr>
        <w:pStyle w:val="Heading5"/>
        <w:rPr/>
      </w:pPr>
      <w:bookmarkStart w:colFirst="0" w:colLast="0" w:name="_xr56wkafoh2w" w:id="6"/>
      <w:bookmarkEnd w:id="6"/>
      <w:r w:rsidDel="00000000" w:rsidR="00000000" w:rsidRPr="00000000">
        <w:rPr>
          <w:rtl w:val="0"/>
        </w:rPr>
        <w:t xml:space="preserve">6. The 50-State and Territory Comprehensive Affordability Registry</w:t>
      </w:r>
    </w:p>
    <w:p w:rsidR="00000000" w:rsidDel="00000000" w:rsidP="00000000" w:rsidRDefault="00000000" w:rsidRPr="00000000" w14:paraId="00000012">
      <w:pPr>
        <w:rPr/>
      </w:pPr>
      <w:r w:rsidDel="00000000" w:rsidR="00000000" w:rsidRPr="00000000">
        <w:rPr>
          <w:rtl w:val="0"/>
        </w:rPr>
        <w:t xml:space="preserve">This registry serves as a diagnostic tool, grouping states by their "Economic Personality" to inform regional strategy.</w:t>
      </w:r>
      <w:r w:rsidDel="00000000" w:rsidR="00000000" w:rsidRPr="00000000">
        <w:rPr>
          <w:b w:val="1"/>
          <w:bCs w:val="1"/>
          <w:rtl w:val="0"/>
        </w:rPr>
        <w:t xml:space="preserve">Tier 1: The Premium/High-Cost Markets (Top 15)</w:t>
      </w:r>
      <w:r w:rsidDel="00000000" w:rsidR="00000000" w:rsidRPr="00000000">
        <w:rPr>
          <w:rtl w:val="0"/>
        </w:rPr>
        <w:t xml:space="preserve">   </w:t>
      </w:r>
      <w:r w:rsidDel="00000000" w:rsidR="00000000" w:rsidRPr="00000000">
        <w:rPr>
          <w:i w:val="1"/>
          <w:iCs w:val="1"/>
          <w:rtl w:val="0"/>
        </w:rPr>
        <w:t xml:space="preserve">HI, CA, MA, DC, NY, AK, MD, NJ, WA, VT, ME, CT, OR, NH, AZ.</w:t>
      </w:r>
      <w:r w:rsidDel="00000000" w:rsidR="00000000" w:rsidRPr="00000000">
        <w:rPr>
          <w:rtl w:val="0"/>
        </w:rPr>
        <w:t xml:space="preserve">   </w:t>
      </w:r>
      <w:r w:rsidDel="00000000" w:rsidR="00000000" w:rsidRPr="00000000">
        <w:rPr>
          <w:i w:val="1"/>
          <w:iCs w:val="1"/>
          <w:rtl w:val="0"/>
        </w:rPr>
        <w:t xml:space="preserve">Strategic Summary:</w:t>
      </w:r>
      <w:r w:rsidDel="00000000" w:rsidR="00000000" w:rsidRPr="00000000">
        <w:rPr>
          <w:rtl w:val="0"/>
        </w:rPr>
        <w:t xml:space="preserve">  Essential for high-density tech and finance hubs, but requires extreme compensation models to mitigate "Survival Debt." Despite costs, MD and WA remain highly competitive due to adjusted income strength.</w:t>
      </w:r>
      <w:r w:rsidDel="00000000" w:rsidR="00000000" w:rsidRPr="00000000">
        <w:rPr>
          <w:b w:val="1"/>
          <w:bCs w:val="1"/>
          <w:rtl w:val="0"/>
        </w:rPr>
        <w:t xml:space="preserve">Tier 2: The Mid-Market/Equilibrium States (Next 15)</w:t>
      </w:r>
      <w:r w:rsidDel="00000000" w:rsidR="00000000" w:rsidRPr="00000000">
        <w:rPr>
          <w:rtl w:val="0"/>
        </w:rPr>
        <w:t xml:space="preserve">   </w:t>
      </w:r>
      <w:r w:rsidDel="00000000" w:rsidR="00000000" w:rsidRPr="00000000">
        <w:rPr>
          <w:i w:val="1"/>
          <w:iCs w:val="1"/>
          <w:rtl w:val="0"/>
        </w:rPr>
        <w:t xml:space="preserve">RI, CO, FL, UT, DE, VA, NV, ID, NC, WI, PA, MT, IL, SC, MN.</w:t>
      </w:r>
      <w:r w:rsidDel="00000000" w:rsidR="00000000" w:rsidRPr="00000000">
        <w:rPr>
          <w:rtl w:val="0"/>
        </w:rPr>
        <w:t xml:space="preserve">   </w:t>
      </w:r>
      <w:r w:rsidDel="00000000" w:rsidR="00000000" w:rsidRPr="00000000">
        <w:rPr>
          <w:i w:val="1"/>
          <w:iCs w:val="1"/>
          <w:rtl w:val="0"/>
        </w:rPr>
        <w:t xml:space="preserve">Strategic Summary:</w:t>
      </w:r>
      <w:r w:rsidDel="00000000" w:rsidR="00000000" w:rsidRPr="00000000">
        <w:rPr>
          <w:rtl w:val="0"/>
        </w:rPr>
        <w:t xml:space="preserve">  The primary targets for relocations seeking a balance of lifestyle appeal and cost-stability. States like UT and MN offer high healthcare efficiency and moderate housing pressure.</w:t>
      </w:r>
      <w:r w:rsidDel="00000000" w:rsidR="00000000" w:rsidRPr="00000000">
        <w:rPr>
          <w:b w:val="1"/>
          <w:bCs w:val="1"/>
          <w:rtl w:val="0"/>
        </w:rPr>
        <w:t xml:space="preserve">Tier 3: The Affordability/Value Markets (Bottom 20)</w:t>
      </w:r>
      <w:r w:rsidDel="00000000" w:rsidR="00000000" w:rsidRPr="00000000">
        <w:rPr>
          <w:rtl w:val="0"/>
        </w:rPr>
        <w:t xml:space="preserve">   </w:t>
      </w:r>
      <w:r w:rsidDel="00000000" w:rsidR="00000000" w:rsidRPr="00000000">
        <w:rPr>
          <w:i w:val="1"/>
          <w:iCs w:val="1"/>
          <w:rtl w:val="0"/>
        </w:rPr>
        <w:t xml:space="preserve">OH, WY, NM, NE, GA, KY, LA, TX, SD, ND, IN, TN, MI, IA, AR, MO, KS, AL, WV, MS.</w:t>
      </w:r>
      <w:r w:rsidDel="00000000" w:rsidR="00000000" w:rsidRPr="00000000">
        <w:rPr>
          <w:rtl w:val="0"/>
        </w:rPr>
        <w:t xml:space="preserve">   </w:t>
      </w:r>
      <w:r w:rsidDel="00000000" w:rsidR="00000000" w:rsidRPr="00000000">
        <w:rPr>
          <w:i w:val="1"/>
          <w:iCs w:val="1"/>
          <w:rtl w:val="0"/>
        </w:rPr>
        <w:t xml:space="preserve">Strategic Summary:</w:t>
      </w:r>
      <w:r w:rsidDel="00000000" w:rsidR="00000000" w:rsidRPr="00000000">
        <w:rPr>
          <w:rtl w:val="0"/>
        </w:rPr>
        <w:t xml:space="preserve">  Optimized for logistics and manufacturing. These states provide the lowest operational floor, though they require vetting for specialized talent depth.</w:t>
      </w:r>
      <w:r w:rsidDel="00000000" w:rsidR="00000000" w:rsidRPr="00000000">
        <w:rPr>
          <w:b w:val="1"/>
          <w:bCs w:val="1"/>
          <w:rtl w:val="0"/>
        </w:rPr>
        <w:t xml:space="preserve">Extraterritorial Strategy: Puerto Rico</w:t>
      </w:r>
      <w:r w:rsidDel="00000000" w:rsidR="00000000" w:rsidRPr="00000000">
        <w:rPr>
          <w:rtl w:val="0"/>
        </w:rPr>
        <w:t xml:space="preserve">  Puerto Rico presents a non-traditional value proposition. It faces an extreme utility index (162.1) due to island logistics, but offers an exceptionally low healthcare index (69.9). This profile is ideal for energy-resilient data centers or medical manufacturing where labor-intensive healthcare costs are a primary concern.</w:t>
      </w:r>
    </w:p>
    <w:p w:rsidR="00000000" w:rsidDel="00000000" w:rsidP="00000000" w:rsidRDefault="00000000" w:rsidRPr="00000000" w14:paraId="00000013">
      <w:pPr>
        <w:pStyle w:val="Heading5"/>
        <w:rPr/>
      </w:pPr>
      <w:bookmarkStart w:colFirst="0" w:colLast="0" w:name="_3f79vy6u2683" w:id="7"/>
      <w:bookmarkEnd w:id="7"/>
      <w:r w:rsidDel="00000000" w:rsidR="00000000" w:rsidRPr="00000000">
        <w:rPr>
          <w:rtl w:val="0"/>
        </w:rPr>
        <w:t xml:space="preserve">7. Strategic Conclusions: A Decision Matrix for Corporate Expansion</w:t>
      </w:r>
    </w:p>
    <w:p w:rsidR="00000000" w:rsidDel="00000000" w:rsidP="00000000" w:rsidRDefault="00000000" w:rsidRPr="00000000" w14:paraId="00000014">
      <w:pPr>
        <w:rPr/>
      </w:pPr>
      <w:r w:rsidDel="00000000" w:rsidR="00000000" w:rsidRPr="00000000">
        <w:rPr>
          <w:rtl w:val="0"/>
        </w:rPr>
        <w:t xml:space="preserve">To navigate the 2026 landscape, business leaders must move beyond nominal data and utilize the following  </w:t>
      </w:r>
      <w:r w:rsidDel="00000000" w:rsidR="00000000" w:rsidRPr="00000000">
        <w:rPr>
          <w:b w:val="1"/>
          <w:bCs w:val="1"/>
          <w:rtl w:val="0"/>
        </w:rPr>
        <w:t xml:space="preserve">Site Selection Decision Matrix</w:t>
      </w:r>
      <w:r w:rsidDel="00000000" w:rsidR="00000000" w:rsidRPr="00000000">
        <w:rPr>
          <w:rtl w:val="0"/>
        </w:rPr>
        <w:t xml:space="preserve"> :</w:t>
      </w:r>
    </w:p>
    <w:p w:rsidR="00000000" w:rsidDel="00000000" w:rsidP="00000000" w:rsidRDefault="00000000" w:rsidRPr="00000000" w14:paraId="00000015">
      <w:pPr>
        <w:numPr>
          <w:ilvl w:val="0"/>
          <w:numId w:val="1"/>
        </w:numPr>
        <w:ind w:left="720" w:hanging="360"/>
        <w:rPr>
          <w:u w:val="none"/>
        </w:rPr>
      </w:pPr>
      <w:r w:rsidDel="00000000" w:rsidR="00000000" w:rsidRPr="00000000">
        <w:rPr>
          <w:b w:val="1"/>
          <w:bCs w:val="1"/>
          <w:rtl w:val="0"/>
        </w:rPr>
        <w:t xml:space="preserve">Weaponize Adjusted Income:</w:t>
      </w:r>
      <w:r w:rsidDel="00000000" w:rsidR="00000000" w:rsidRPr="00000000">
        <w:rPr>
          <w:rtl w:val="0"/>
        </w:rPr>
        <w:t xml:space="preserve">  Do not be lured by the "cheapest" states. Prioritize regions like Maryland or Washington where the ratio of median wage to local cost maximizes employee purchasing power and minimizes "Survival Debt."</w:t>
      </w:r>
    </w:p>
    <w:p w:rsidR="00000000" w:rsidDel="00000000" w:rsidP="00000000" w:rsidRDefault="00000000" w:rsidRPr="00000000" w14:paraId="00000016">
      <w:pPr>
        <w:numPr>
          <w:ilvl w:val="0"/>
          <w:numId w:val="1"/>
        </w:numPr>
        <w:ind w:left="720" w:hanging="360"/>
        <w:rPr>
          <w:u w:val="none"/>
        </w:rPr>
      </w:pPr>
      <w:r w:rsidDel="00000000" w:rsidR="00000000" w:rsidRPr="00000000">
        <w:rPr>
          <w:b w:val="1"/>
          <w:bCs w:val="1"/>
          <w:rtl w:val="0"/>
        </w:rPr>
        <w:t xml:space="preserve">Audit Policy-Driven Overhead:</w:t>
      </w:r>
      <w:r w:rsidDel="00000000" w:rsidR="00000000" w:rsidRPr="00000000">
        <w:rPr>
          <w:rtl w:val="0"/>
        </w:rPr>
        <w:t xml:space="preserve">  Evaluate the "Taxation Paradox." High property tax rates in states like New Jersey create a permanent operational drag that often outweighs initial relocation incentives.</w:t>
      </w:r>
    </w:p>
    <w:p w:rsidR="00000000" w:rsidDel="00000000" w:rsidP="00000000" w:rsidRDefault="00000000" w:rsidRPr="00000000" w14:paraId="00000017">
      <w:pPr>
        <w:numPr>
          <w:ilvl w:val="0"/>
          <w:numId w:val="1"/>
        </w:numPr>
        <w:ind w:left="720" w:hanging="360"/>
        <w:rPr>
          <w:u w:val="none"/>
        </w:rPr>
      </w:pPr>
      <w:r w:rsidDel="00000000" w:rsidR="00000000" w:rsidRPr="00000000">
        <w:rPr>
          <w:b w:val="1"/>
          <w:bCs w:val="1"/>
          <w:rtl w:val="0"/>
        </w:rPr>
        <w:t xml:space="preserve">Isolate Geographic COGS:</w:t>
      </w:r>
      <w:r w:rsidDel="00000000" w:rsidR="00000000" w:rsidRPr="00000000">
        <w:rPr>
          <w:rtl w:val="0"/>
        </w:rPr>
        <w:t xml:space="preserve">  In isolated markets like Alaska or Hawaii, logistics premiums on groceries ($334/week) and materials are structural. Build a separate Cost of Goods Sold model that accounts for these permanent inflationary pressures.</w:t>
      </w:r>
    </w:p>
    <w:p w:rsidR="00000000" w:rsidDel="00000000" w:rsidP="00000000" w:rsidRDefault="00000000" w:rsidRPr="00000000" w14:paraId="00000018">
      <w:pPr>
        <w:numPr>
          <w:ilvl w:val="0"/>
          <w:numId w:val="1"/>
        </w:numPr>
        <w:ind w:left="720" w:hanging="360"/>
        <w:rPr>
          <w:u w:val="none"/>
        </w:rPr>
      </w:pPr>
      <w:r w:rsidDel="00000000" w:rsidR="00000000" w:rsidRPr="00000000">
        <w:rPr>
          <w:b w:val="1"/>
          <w:bCs w:val="1"/>
          <w:rtl w:val="0"/>
        </w:rPr>
        <w:t xml:space="preserve">Stress-Test Tax Incentives Against Supply Elasticity:</w:t>
      </w:r>
      <w:r w:rsidDel="00000000" w:rsidR="00000000" w:rsidRPr="00000000">
        <w:rPr>
          <w:rtl w:val="0"/>
        </w:rPr>
        <w:t xml:space="preserve">  A "No Income Tax" status in Florida or Texas is a hollow benefit if housing supply is inelastic. Seek the "Houston Effect"—markets where robust construction prevents migration from triggering a housing cost explosion.In 2026, the differentiator for corporate longevity is not the size of the paycheck, but the standard of living that paycheck buys. Mastering these economic tiers is the only way to secure a stable, productive workforce in an era of unprecedented price volatility.</w:t>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